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Росреестра от 24.05.2021 N П/0216</w:t>
              <w:br/>
              <w:t xml:space="preserve">"Об утверждении Порядка рассмотрения декларации о характеристиках объекта недвижимости, в том числе ее формы"</w:t>
              <w:br/>
              <w:t xml:space="preserve">(Зарегистрировано в Минюсте России 17.09.2021 N 65037)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12.02.2025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Минюсте России 17 сентября 2021 г. N 65037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ФЕДЕРАЛЬНАЯ СЛУЖБА ГОСУДАРСТВЕННОЙ РЕГИСТРАЦИИ,</w:t>
      </w:r>
    </w:p>
    <w:p>
      <w:pPr>
        <w:pStyle w:val="2"/>
        <w:jc w:val="center"/>
      </w:pPr>
      <w:r>
        <w:rPr>
          <w:sz w:val="20"/>
        </w:rPr>
        <w:t xml:space="preserve">КАДАСТРА И КАРТОГРАФИИ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24 мая 2021 г. N П/0216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</w:t>
      </w:r>
    </w:p>
    <w:p>
      <w:pPr>
        <w:pStyle w:val="2"/>
        <w:jc w:val="center"/>
      </w:pPr>
      <w:r>
        <w:rPr>
          <w:sz w:val="20"/>
        </w:rPr>
        <w:t xml:space="preserve">РАССМОТРЕНИЯ ДЕКЛАРАЦИИ О ХАРАКТЕРИСТИКАХ ОБЪЕКТА</w:t>
      </w:r>
    </w:p>
    <w:p>
      <w:pPr>
        <w:pStyle w:val="2"/>
        <w:jc w:val="center"/>
      </w:pPr>
      <w:r>
        <w:rPr>
          <w:sz w:val="20"/>
        </w:rPr>
        <w:t xml:space="preserve">НЕДВИЖИМОСТИ, В ТОМ ЧИСЛЕ ЕЕ ФОРМЫ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7" w:tooltip="Федеральный закон от 03.07.2016 N 237-ФЗ (ред. от 23.11.2024) &quot;О государственной кадастровой оценке&quot; {КонсультантПлюс}">
        <w:r>
          <w:rPr>
            <w:sz w:val="20"/>
            <w:color w:val="0000ff"/>
          </w:rPr>
          <w:t xml:space="preserve">частью 4 статьи 12</w:t>
        </w:r>
      </w:hyperlink>
      <w:r>
        <w:rPr>
          <w:sz w:val="20"/>
        </w:rPr>
        <w:t xml:space="preserve"> Федерального закона от 3 июля 2016 г. N 237-ФЗ "О государственной кадастровой оценке" (Собрание законодательства Российской Федерации, 2016, N 27, ст. 4170) и </w:t>
      </w:r>
      <w:hyperlink w:history="0" r:id="rId8" w:tooltip="Постановление Правительства РФ от 01.06.2009 N 457 (ред. от 13.12.2024) &quot;О Федеральной службе государственной регистрации, кадастра и картографии&quot; (вместе с &quot;Положением о Федеральной службе государственной регистрации, кадастра и картографии&quot;) {КонсультантПлюс}">
        <w:r>
          <w:rPr>
            <w:sz w:val="20"/>
            <w:color w:val="0000ff"/>
          </w:rPr>
          <w:t xml:space="preserve">подпунктом 5.26(7) пункта 5</w:t>
        </w:r>
      </w:hyperlink>
      <w:r>
        <w:rPr>
          <w:sz w:val="20"/>
        </w:rPr>
        <w:t xml:space="preserve"> Положения о Федеральной службе государственной регистрации, кадастра и картографии, утвержденного постановлением Правительства Российской Федерации от 1 июня 2009 г. N 457 (Собрание законодательства Российской Федерации, 2009, N 25, ст. 3052; 2020, N 7, ст. 855),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Утвердить:</w:t>
      </w:r>
    </w:p>
    <w:p>
      <w:pPr>
        <w:pStyle w:val="0"/>
        <w:spacing w:before="200" w:line-rule="auto"/>
        <w:ind w:firstLine="540"/>
        <w:jc w:val="both"/>
      </w:pPr>
      <w:hyperlink w:history="0" w:anchor="P31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рассмотрения декларации о характеристиках объекта недвижимости (приложение N 1);</w:t>
      </w:r>
    </w:p>
    <w:p>
      <w:pPr>
        <w:pStyle w:val="0"/>
        <w:spacing w:before="200" w:line-rule="auto"/>
        <w:ind w:firstLine="540"/>
        <w:jc w:val="both"/>
      </w:pPr>
      <w:hyperlink w:history="0" w:anchor="P96" w:tooltip="Декларация о характеристиках объекта недвижимости">
        <w:r>
          <w:rPr>
            <w:sz w:val="20"/>
            <w:color w:val="0000ff"/>
          </w:rPr>
          <w:t xml:space="preserve">форму</w:t>
        </w:r>
      </w:hyperlink>
      <w:r>
        <w:rPr>
          <w:sz w:val="20"/>
        </w:rPr>
        <w:t xml:space="preserve"> декларации о характеристиках объекта недвижимости (приложение N 2).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Настоящий приказ вступает в силу с даты вступления в силу приказа Минэкономразвития России о признании утратившим силу </w:t>
      </w:r>
      <w:hyperlink w:history="0" r:id="rId9" w:tooltip="Приказ Минэкономразвития России от 04.06.2019 N 318 &quot;Об утверждении порядка рассмотрения декларации о характеристиках объекта недвижимости, в том числе ее формы&quot; (Зарегистрировано в Минюсте России 23.09.2019 N 56006) ------------ Утратил силу или отменен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Минэкономразвития России от 4 июня 2019 г. N 318 "Об утверждении порядка рассмотрения декларации о характеристиках объекта недвижимости, в том числе ее формы" (зарегистрирован Минюстом России 23 сентября 2019 г., регистрационный N 56006).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Руководитель</w:t>
      </w:r>
    </w:p>
    <w:p>
      <w:pPr>
        <w:pStyle w:val="0"/>
        <w:jc w:val="right"/>
      </w:pPr>
      <w:r>
        <w:rPr>
          <w:sz w:val="20"/>
        </w:rPr>
        <w:t xml:space="preserve">О.А.СКУФИНСКИЙ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приказу Росреестра</w:t>
      </w:r>
    </w:p>
    <w:p>
      <w:pPr>
        <w:pStyle w:val="0"/>
        <w:jc w:val="right"/>
      </w:pPr>
      <w:r>
        <w:rPr>
          <w:sz w:val="20"/>
        </w:rPr>
        <w:t xml:space="preserve">от 24 мая 2021 г. N П/0216</w:t>
      </w:r>
    </w:p>
    <w:p>
      <w:pPr>
        <w:pStyle w:val="0"/>
        <w:jc w:val="both"/>
      </w:pPr>
      <w:r>
        <w:rPr>
          <w:sz w:val="20"/>
        </w:rPr>
      </w:r>
    </w:p>
    <w:bookmarkStart w:id="31" w:name="P31"/>
    <w:bookmarkEnd w:id="31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РАССМОТРЕНИЯ ДЕКЛАРАЦИИ О ХАРАКТЕРИСТИКАХ</w:t>
      </w:r>
    </w:p>
    <w:p>
      <w:pPr>
        <w:pStyle w:val="2"/>
        <w:jc w:val="center"/>
      </w:pPr>
      <w:r>
        <w:rPr>
          <w:sz w:val="20"/>
        </w:rPr>
        <w:t xml:space="preserve">ОБЪЕКТА НЕДВИЖИМОСТИ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устанавливает правила рассмотрения декларации о характеристиках объекта недвижимости (далее - декларация) бюджетным учреждением, созданным субъектом Российской Федерации и наделенным полномочиями, связанными с определением кадастровой стоимости (далее - бюджетное учреждение).</w:t>
      </w:r>
    </w:p>
    <w:bookmarkStart w:id="38" w:name="P38"/>
    <w:bookmarkEnd w:id="3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Бюджетным учреждением рассматривается декларация, поданная правообладателем объекта недвижимости (далее - заявитель) или его представителем по </w:t>
      </w:r>
      <w:hyperlink w:history="0" w:anchor="P96" w:tooltip="Декларация о характеристиках объекта недвижимости">
        <w:r>
          <w:rPr>
            <w:sz w:val="20"/>
            <w:color w:val="0000ff"/>
          </w:rPr>
          <w:t xml:space="preserve">форме</w:t>
        </w:r>
      </w:hyperlink>
      <w:r>
        <w:rPr>
          <w:sz w:val="20"/>
        </w:rPr>
        <w:t xml:space="preserve">, предусмотренной приложением N 2 к настоящему приказу, с приложением: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документов (копий документов) и материалов, указание на которые содержится в декларации, в том числе подтверждающих значение (описание) характеристик, указанных в декларации;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выписки из Единого государственного реестра недвижимости (далее - ЕГРН), содержащей сведения об объекте недвижимости, в том числе о зарегистрированных на него правах;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копий документов, подтверждающих право заявителя на объект недвижимости, предусматривающее временное владение и пользование или временное пользование объектом недвижимости в случае, если соответствующее право не подлежит государственной регистрации в ЕГРН на основании </w:t>
      </w:r>
      <w:hyperlink w:history="0" r:id="rId10" w:tooltip="Федеральный закон от 13.07.2015 N 218-ФЗ (ред. от 26.12.2024) &quot;О государственной регистрации недвижимости&quot; (с изм. и доп., вступ. в силу с 05.02.2025) {КонсультантПлюс}">
        <w:r>
          <w:rPr>
            <w:sz w:val="20"/>
            <w:color w:val="0000ff"/>
          </w:rPr>
          <w:t xml:space="preserve">части 2 статьи 14</w:t>
        </w:r>
      </w:hyperlink>
      <w:r>
        <w:rPr>
          <w:sz w:val="20"/>
        </w:rPr>
        <w:t xml:space="preserve"> Федерального закона от 13 июля 2015 г. N 218-ФЗ "О государственной регистрации недвижимости" (Собрание законодательства Российской Федерации, 2015, N 29, ст. 4344; 2021, N 18, ст. 3064);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доверенности или иного подтверждающего полномочия представителя заявителя документа, удостоверенных в соответствии с законодательством Российской Федерации.</w:t>
      </w:r>
    </w:p>
    <w:bookmarkStart w:id="43" w:name="P43"/>
    <w:bookmarkEnd w:id="4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Рассмотрению подлежит декларация, составленная: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на бумажном носителе, каждый лист которой заверен собственноручной подписью заявителя или его представителя;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 форме электронного документа, подписанного усиленной квалифицированной электронной подписью заявителя или его представителя.</w:t>
      </w:r>
    </w:p>
    <w:bookmarkStart w:id="46" w:name="P46"/>
    <w:bookmarkEnd w:id="4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Декларация, составленная в форме электронного документа, а также электронные документы (копии документов; электронные образы документов, в том числе доверенностей) и материалы, прилагаемые к декларации, подлежат рассмотрению в случае их составления в виде файлов в форматах, обеспечивающих просмотр и копирование подписанных электронных документов и материалов без использования специальных программных средств.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качестве документов (копий документов) и материалов, прилагаемых к декларации, допускается приложение писем, справок, выписок, паспортов, актов, заключений, предоставленных в том числе органами государственной власти и органами местного самоуправления, экспертными, управляющими, ресурсоснабжающими и иными организациями, отчетов об оценке рыночной стоимости объекта оценки, судебных экспертиз, а также материалов (электронных образов страниц сайтов в информационно-телекоммуникационной сети "Интернет", фотографий, выкопировок), подтверждающих указанные в декларации характеристики.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Подписание декларации, подаваемой с использованием единого портала государственных и муниципальных услуг в соответствии с положениями </w:t>
      </w:r>
      <w:hyperlink w:history="0" r:id="rId11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статьи 10</w:t>
        </w:r>
      </w:hyperlink>
      <w:r>
        <w:rPr>
          <w:sz w:val="20"/>
        </w:rPr>
        <w:t xml:space="preserve"> Федерального закона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4179; 2021, N 1, ст. 48), усиленной квалифицированной электронной подписью заявителя или представителя заявителя не требуется.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Бюджетное учреждение обеспечивает принятие и рассмотрение деклараций, представленных в бюджетное учреждение или многофункциональный центр предоставления государственных и муниципальных услуг (далее - многофункциональный центр) лично или с использованием информационно-телекоммуникационных сетей общего пользования, в том числе сети "Интернет", включая единый портал государственных и муниципальных услуг, а также регистрируемым почтовым отправлением с уведомлением о вручении.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Декларация не подлежит рассмотрению в соответствии с настоящим Порядком в случае, если: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заявитель, подавший декларацию, не является правообладателем объекта недвижимости, в отношении которого подается декларация;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к декларации не приложены документы (копии документов) и материалы, предусмотренные </w:t>
      </w:r>
      <w:hyperlink w:history="0" w:anchor="P38" w:tooltip="2. Бюджетным учреждением рассматривается декларация, поданная правообладателем объекта недвижимости (далее - заявитель) или его представителем по форме, предусмотренной приложением N 2 к настоящему приказу, с приложением:">
        <w:r>
          <w:rPr>
            <w:sz w:val="20"/>
            <w:color w:val="0000ff"/>
          </w:rPr>
          <w:t xml:space="preserve">пунктом 2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декларация не соответствует </w:t>
      </w:r>
      <w:hyperlink w:history="0" w:anchor="P96" w:tooltip="Декларация о характеристиках объекта недвижимости">
        <w:r>
          <w:rPr>
            <w:sz w:val="20"/>
            <w:color w:val="0000ff"/>
          </w:rPr>
          <w:t xml:space="preserve">форме</w:t>
        </w:r>
      </w:hyperlink>
      <w:r>
        <w:rPr>
          <w:sz w:val="20"/>
        </w:rPr>
        <w:t xml:space="preserve">, предусмотренной приложением N 2 к настоящему приказу;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декларация не заверена в соответствии с </w:t>
      </w:r>
      <w:hyperlink w:history="0" w:anchor="P43" w:tooltip="3. Рассмотрению подлежит декларация, составленная:">
        <w:r>
          <w:rPr>
            <w:sz w:val="20"/>
            <w:color w:val="0000ff"/>
          </w:rPr>
          <w:t xml:space="preserve">пунктом 3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декларация и прилагаемые к ней документы (копии документов) и материалы представлены не в соответствии с требованиями, предусмотренными </w:t>
      </w:r>
      <w:hyperlink w:history="0" w:anchor="P46" w:tooltip="4. Декларация, составленная в форме электронного документа, а также электронные документы (копии документов; электронные образы документов, в том числе доверенностей) и материалы, прилагаемые к декларации, подлежат рассмотрению в случае их составления в виде файлов в форматах, обеспечивающих просмотр и копирование подписанных электронных документов и материалов без использования специальных программных средств.">
        <w:r>
          <w:rPr>
            <w:sz w:val="20"/>
            <w:color w:val="0000ff"/>
          </w:rPr>
          <w:t xml:space="preserve">пунктом 4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В случае если декларация не подлежит рассмотрению, бюджетным учреждением заявителю (представителю заявителя) в течение 5 рабочих дней со дня ее представления направляется уведомление о причинах, по которым такая декларация не подлежит рассмотрению, с приложением документов (копий документов) и материалов, указание на которые содержится в декларации, в том числе подтверждающих значение (описание) указанных в декларации характеристик.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декларация и прилагаемые к ней документы (копии документов) и материалы были направлены в бюджетное учреждение с использованием информационно-телекоммуникационных сетей общего пользования, в том числе сети "Интернет", включая единый портал государственных и муниципальных услуг, заявителю (представителю заявителя) в сроки, предусмотренные настоящим пунктом, направляется уведомление о причинах, по которым такая декларация не подлежит рассмотрению, без приложения документов (копий документов) и материалов, указание на которые содержится в декларации.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Правила рассмотрения декларации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9. Днем представления декларации считается день ее поступления в бюджетное учреждение или многофункциональный центр, день, указанный на оттиске календарного почтового штемпеля уведомления о вручении (в случае направления декларации почтовой связью), либо день ее подачи с использованием информационно-телекоммуникационных сетей общего пользования, в том числе сети "Интернет", включая единый портал государственных и муниципальных услуг.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подачи декларации с использованием информационно-телекоммуникационных сетей общего пользования, в том числе сети "Интернет", включая единый портал государственных и муниципальных услуг, бюджетное учреждение не позднее рабочего дня, следующего за днем поступления декларации, уведомляет заявителя (представителя заявителя) о поступлении такой декларации.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Уведомление о поступлении декларации, предусмотренное настоящим пунктом, направляется заявителю (представителю заявителя) по адресу электронной почты (при наличии), указанному в </w:t>
      </w:r>
      <w:hyperlink w:history="0" w:anchor="P116" w:tooltip="2.2">
        <w:r>
          <w:rPr>
            <w:sz w:val="20"/>
            <w:color w:val="0000ff"/>
          </w:rPr>
          <w:t xml:space="preserve">пункте 2.2 раздела 2</w:t>
        </w:r>
      </w:hyperlink>
      <w:r>
        <w:rPr>
          <w:sz w:val="20"/>
        </w:rPr>
        <w:t xml:space="preserve"> или в </w:t>
      </w:r>
      <w:hyperlink w:history="0" w:anchor="P130" w:tooltip="3.3">
        <w:r>
          <w:rPr>
            <w:sz w:val="20"/>
            <w:color w:val="0000ff"/>
          </w:rPr>
          <w:t xml:space="preserve">пункте 3.3 раздела 3</w:t>
        </w:r>
      </w:hyperlink>
      <w:r>
        <w:rPr>
          <w:sz w:val="20"/>
        </w:rPr>
        <w:t xml:space="preserve"> декларации, форма которой приведена в приложении N 2 к настоящему приказу.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в декларации не указан адрес электронной почты заявителя (представителя заявителя), уведомление о поступлении декларации направляется почтовым отправлением по адресу, указанному в </w:t>
      </w:r>
      <w:hyperlink w:history="0" w:anchor="P116" w:tooltip="2.2">
        <w:r>
          <w:rPr>
            <w:sz w:val="20"/>
            <w:color w:val="0000ff"/>
          </w:rPr>
          <w:t xml:space="preserve">пункте 2.2 раздела 2</w:t>
        </w:r>
      </w:hyperlink>
      <w:r>
        <w:rPr>
          <w:sz w:val="20"/>
        </w:rPr>
        <w:t xml:space="preserve"> или в </w:t>
      </w:r>
      <w:hyperlink w:history="0" w:anchor="P130" w:tooltip="3.3">
        <w:r>
          <w:rPr>
            <w:sz w:val="20"/>
            <w:color w:val="0000ff"/>
          </w:rPr>
          <w:t xml:space="preserve">пункте 3.3 раздела 3</w:t>
        </w:r>
      </w:hyperlink>
      <w:r>
        <w:rPr>
          <w:sz w:val="20"/>
        </w:rPr>
        <w:t xml:space="preserve"> декларации, форма которой приведена в приложении N 2 к настоящему Приказу.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Уведомление о поступлении декларации должно содержать кадастровый номер объекта недвижимости, в отношении которого подана декларация, входящий регистрационный номер, присвоенный бюджетным учреждением соответствующей декларации, и дату ее подачи с использованием информационно-телекоммуникационных сетей общего пользования, в том числе сети "Интернет", включая единый портал государственных и муниципальных услуг.</w:t>
      </w:r>
    </w:p>
    <w:bookmarkStart w:id="66" w:name="P66"/>
    <w:bookmarkEnd w:id="6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Декларация рассматривается в течение 30 рабочих дней со дня представления декларации.</w:t>
      </w:r>
    </w:p>
    <w:bookmarkStart w:id="67" w:name="P67"/>
    <w:bookmarkEnd w:id="6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В случаях, предусмотренных </w:t>
      </w:r>
      <w:hyperlink w:history="0" r:id="rId12" w:tooltip="Федеральный закон от 03.07.2016 N 237-ФЗ (ред. от 23.11.2024) &quot;О государственной кадастровой оценке&quot; {КонсультантПлюс}">
        <w:r>
          <w:rPr>
            <w:sz w:val="20"/>
            <w:color w:val="0000ff"/>
          </w:rPr>
          <w:t xml:space="preserve">частью 6 статьи 12</w:t>
        </w:r>
      </w:hyperlink>
      <w:r>
        <w:rPr>
          <w:sz w:val="20"/>
        </w:rPr>
        <w:t xml:space="preserve">, </w:t>
      </w:r>
      <w:hyperlink w:history="0" r:id="rId13" w:tooltip="Федеральный закон от 03.07.2016 N 237-ФЗ (ред. от 23.11.2024) &quot;О государственной кадастровой оценке&quot; {КонсультантПлюс}">
        <w:r>
          <w:rPr>
            <w:sz w:val="20"/>
            <w:color w:val="0000ff"/>
          </w:rPr>
          <w:t xml:space="preserve">частями 5</w:t>
        </w:r>
      </w:hyperlink>
      <w:r>
        <w:rPr>
          <w:sz w:val="20"/>
        </w:rPr>
        <w:t xml:space="preserve"> и </w:t>
      </w:r>
      <w:hyperlink w:history="0" r:id="rId14" w:tooltip="Федеральный закон от 03.07.2016 N 237-ФЗ (ред. от 23.11.2024) &quot;О государственной кадастровой оценке&quot; {КонсультантПлюс}">
        <w:r>
          <w:rPr>
            <w:sz w:val="20"/>
            <w:color w:val="0000ff"/>
          </w:rPr>
          <w:t xml:space="preserve">20 статьи 14</w:t>
        </w:r>
      </w:hyperlink>
      <w:r>
        <w:rPr>
          <w:sz w:val="20"/>
        </w:rPr>
        <w:t xml:space="preserve"> Федерального закона от 3 июля 2016 г. N 237-ФЗ "О государственной кадастровой оценке" (Собрание законодательства Российской Федерации, 2016, N 27, ст. 4170; 2020, N 31, ст. 5028; далее - Федеральный закон о государственной кадастровой оценке), руководитель бюджетного учреждения либо уполномоченное на то лицо вправе продлить срок рассмотрения декларации не более чем на 30 рабочих дней, уведомив о продлении срока ее рассмотрения заявителя (представителя заявителя), подавшего декларацию.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Уведомление о продлении срока рассмотрения декларации, предусмотренное настоящим пунктом, направляется заявителю (представителю заявителя) по адресу электронной почты (при наличии), указанному в </w:t>
      </w:r>
      <w:hyperlink w:history="0" w:anchor="P116" w:tooltip="2.2">
        <w:r>
          <w:rPr>
            <w:sz w:val="20"/>
            <w:color w:val="0000ff"/>
          </w:rPr>
          <w:t xml:space="preserve">пункте 2.2 раздела 2</w:t>
        </w:r>
      </w:hyperlink>
      <w:r>
        <w:rPr>
          <w:sz w:val="20"/>
        </w:rPr>
        <w:t xml:space="preserve"> или в </w:t>
      </w:r>
      <w:hyperlink w:history="0" w:anchor="P130" w:tooltip="3.3">
        <w:r>
          <w:rPr>
            <w:sz w:val="20"/>
            <w:color w:val="0000ff"/>
          </w:rPr>
          <w:t xml:space="preserve">пункте 3.3 раздела 3</w:t>
        </w:r>
      </w:hyperlink>
      <w:r>
        <w:rPr>
          <w:sz w:val="20"/>
        </w:rPr>
        <w:t xml:space="preserve"> декларации, форма которой приведена в приложении N 2 к настоящему приказу.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в декларации не указан адрес электронной почты заявителя (представителя заявителя), уведомление о продлении срока рассмотрения декларации направляется почтовым отправлением по адресу, указанному в </w:t>
      </w:r>
      <w:hyperlink w:history="0" w:anchor="P116" w:tooltip="2.2">
        <w:r>
          <w:rPr>
            <w:sz w:val="20"/>
            <w:color w:val="0000ff"/>
          </w:rPr>
          <w:t xml:space="preserve">пункте 2.2 раздела 2</w:t>
        </w:r>
      </w:hyperlink>
      <w:r>
        <w:rPr>
          <w:sz w:val="20"/>
        </w:rPr>
        <w:t xml:space="preserve"> или в </w:t>
      </w:r>
      <w:hyperlink w:history="0" w:anchor="P130" w:tooltip="3.3">
        <w:r>
          <w:rPr>
            <w:sz w:val="20"/>
            <w:color w:val="0000ff"/>
          </w:rPr>
          <w:t xml:space="preserve">пункте 3.3 раздела 3</w:t>
        </w:r>
      </w:hyperlink>
      <w:r>
        <w:rPr>
          <w:sz w:val="20"/>
        </w:rPr>
        <w:t xml:space="preserve"> декларации, форма которой приведена в приложении N 2 к настоящему приказу.</w:t>
      </w:r>
    </w:p>
    <w:bookmarkStart w:id="70" w:name="P70"/>
    <w:bookmarkEnd w:id="7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В течение срока рассмотрения декларации бюджетное учреждение вправе: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использовать информацию, полученную из официальных источников, в том числе в соответствии с </w:t>
      </w:r>
      <w:hyperlink w:history="0" r:id="rId15" w:tooltip="Федеральный закон от 03.07.2016 N 237-ФЗ (ред. от 23.11.2024) &quot;О государственной кадастровой оценке&quot; {КонсультантПлюс}">
        <w:r>
          <w:rPr>
            <w:sz w:val="20"/>
            <w:color w:val="0000ff"/>
          </w:rPr>
          <w:t xml:space="preserve">частью 7 статьи 12</w:t>
        </w:r>
      </w:hyperlink>
      <w:r>
        <w:rPr>
          <w:sz w:val="20"/>
        </w:rPr>
        <w:t xml:space="preserve">, </w:t>
      </w:r>
      <w:hyperlink w:history="0" r:id="rId16" w:tooltip="Федеральный закон от 03.07.2016 N 237-ФЗ (ред. от 23.11.2024) &quot;О государственной кадастровой оценке&quot; {КонсультантПлюс}">
        <w:r>
          <w:rPr>
            <w:sz w:val="20"/>
            <w:color w:val="0000ff"/>
          </w:rPr>
          <w:t xml:space="preserve">частями 6</w:t>
        </w:r>
      </w:hyperlink>
      <w:r>
        <w:rPr>
          <w:sz w:val="20"/>
        </w:rPr>
        <w:t xml:space="preserve"> и </w:t>
      </w:r>
      <w:hyperlink w:history="0" r:id="rId17" w:tooltip="Федеральный закон от 03.07.2016 N 237-ФЗ (ред. от 23.11.2024) &quot;О государственной кадастровой оценке&quot; {КонсультантПлюс}">
        <w:r>
          <w:rPr>
            <w:sz w:val="20"/>
            <w:color w:val="0000ff"/>
          </w:rPr>
          <w:t xml:space="preserve">20 статьи 14</w:t>
        </w:r>
      </w:hyperlink>
      <w:r>
        <w:rPr>
          <w:sz w:val="20"/>
        </w:rPr>
        <w:t xml:space="preserve"> Федерального закона о государственной кадастровой оценке;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использовать общедоступную информацию, содержащуюся на официальных сайтах федеральных органов исполнительной власти и подведомственных им организаций, органов исполнительной власти субъекта Российской Федерации и органов местного самоуправления, а также подведомственных им организаций в информационно-телекоммуникационной сети "Интернет".</w:t>
      </w:r>
    </w:p>
    <w:bookmarkStart w:id="73" w:name="P73"/>
    <w:bookmarkEnd w:id="7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Бюджетное учреждение в ходе рассмотрения декларации проверяет информацию, содержащуюся в декларации, путем сопоставления указанной информации с имеющимися в распоряжении бюджетного учреждения сведениями и информацией, полученными в том числе в соответствии с </w:t>
      </w:r>
      <w:hyperlink w:history="0" w:anchor="P70" w:tooltip="12. В течение срока рассмотрения декларации бюджетное учреждение вправе:">
        <w:r>
          <w:rPr>
            <w:sz w:val="20"/>
            <w:color w:val="0000ff"/>
          </w:rPr>
          <w:t xml:space="preserve">пунктом 12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Содержащаяся в декларации информация считается подтвержденной бюджетным учреждением в случае ее соответствия сведениям и информации, имеющимся в распоряжении бюджетного учреждения, полученным в том числе в соответствии с </w:t>
      </w:r>
      <w:hyperlink w:history="0" w:anchor="P70" w:tooltip="12. В течение срока рассмотрения декларации бюджетное учреждение вправе:">
        <w:r>
          <w:rPr>
            <w:sz w:val="20"/>
            <w:color w:val="0000ff"/>
          </w:rPr>
          <w:t xml:space="preserve">пунктом 12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В случае если в ходе проверки, предусмотренной </w:t>
      </w:r>
      <w:hyperlink w:history="0" w:anchor="P73" w:tooltip="13. Бюджетное учреждение в ходе рассмотрения декларации проверяет информацию, содержащуюся в декларации, путем сопоставления указанной информации с имеющимися в распоряжении бюджетного учреждения сведениями и информацией, полученными в том числе в соответствии с пунктом 12 настоящего Порядка.">
        <w:r>
          <w:rPr>
            <w:sz w:val="20"/>
            <w:color w:val="0000ff"/>
          </w:rPr>
          <w:t xml:space="preserve">пунктом 13</w:t>
        </w:r>
      </w:hyperlink>
      <w:r>
        <w:rPr>
          <w:sz w:val="20"/>
        </w:rPr>
        <w:t xml:space="preserve"> настоящего Порядка, достоверность информации, содержащейся в декларации, подтверждена, такая информация учитывается бюджетным учреждением, за исключением случая, предусмотренного </w:t>
      </w:r>
      <w:hyperlink w:history="0" w:anchor="P76" w:tooltip="15. В случае если информация, содержащаяся в декларации, противоречит сведениям, содержащимся в ЕГРН, или в ходе проверки, предусмотренной пунктом 13 настоящего Порядка, достоверность указанной информации не подтверждена, такая информация не учитывается бюджетным учреждением.">
        <w:r>
          <w:rPr>
            <w:sz w:val="20"/>
            <w:color w:val="0000ff"/>
          </w:rPr>
          <w:t xml:space="preserve">пунктом 15</w:t>
        </w:r>
      </w:hyperlink>
      <w:r>
        <w:rPr>
          <w:sz w:val="20"/>
        </w:rPr>
        <w:t xml:space="preserve"> настоящего Порядка.</w:t>
      </w:r>
    </w:p>
    <w:bookmarkStart w:id="76" w:name="P76"/>
    <w:bookmarkEnd w:id="7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В случае если информация, содержащаяся в декларации, противоречит сведениям, содержащимся в ЕГРН, или в ходе проверки, предусмотренной </w:t>
      </w:r>
      <w:hyperlink w:history="0" w:anchor="P73" w:tooltip="13. Бюджетное учреждение в ходе рассмотрения декларации проверяет информацию, содержащуюся в декларации, путем сопоставления указанной информации с имеющимися в распоряжении бюджетного учреждения сведениями и информацией, полученными в том числе в соответствии с пунктом 12 настоящего Порядка.">
        <w:r>
          <w:rPr>
            <w:sz w:val="20"/>
            <w:color w:val="0000ff"/>
          </w:rPr>
          <w:t xml:space="preserve">пунктом 13</w:t>
        </w:r>
      </w:hyperlink>
      <w:r>
        <w:rPr>
          <w:sz w:val="20"/>
        </w:rPr>
        <w:t xml:space="preserve"> настоящего Порядка, достоверность указанной информации не подтверждена, такая информация не учитывается бюджетным учреждением.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В случае выявления ошибок в сведениях ЕГРН бюджетное учреждение направляет сведения о выявленных ошибках в федеральный орган исполнительной власти, уполномоченный на осуществление государственного кадастрового учета, государственной регистрации прав, ведение ЕГРН, в течение 5 рабочих дней со дня истечения сроков рассмотрения декларации, предусмотренных </w:t>
      </w:r>
      <w:hyperlink w:history="0" w:anchor="P66" w:tooltip="10. Декларация рассматривается в течение 30 рабочих дней со дня представления декларации.">
        <w:r>
          <w:rPr>
            <w:sz w:val="20"/>
            <w:color w:val="0000ff"/>
          </w:rPr>
          <w:t xml:space="preserve">пунктами 10</w:t>
        </w:r>
      </w:hyperlink>
      <w:r>
        <w:rPr>
          <w:sz w:val="20"/>
        </w:rPr>
        <w:t xml:space="preserve"> и </w:t>
      </w:r>
      <w:hyperlink w:history="0" w:anchor="P67" w:tooltip="11. В случаях, предусмотренных частью 6 статьи 12, частями 5 и 20 статьи 14 Федерального закона от 3 июля 2016 г. N 237-ФЗ &quot;О государственной кадастровой оценке&quot; (Собрание законодательства Российской Федерации, 2016, N 27, ст. 4170; 2020, N 31, ст. 5028; далее - Федеральный закон о государственной кадастровой оценке), руководитель бюджетного учреждения либо уполномоченное на то лицо вправе продлить срок рассмотрения декларации не более чем на 30 рабочих дней, уведомив о продлении срока ее рассмотрения за...">
        <w:r>
          <w:rPr>
            <w:sz w:val="20"/>
            <w:color w:val="0000ff"/>
          </w:rPr>
          <w:t xml:space="preserve">11</w:t>
        </w:r>
      </w:hyperlink>
      <w:r>
        <w:rPr>
          <w:sz w:val="20"/>
        </w:rPr>
        <w:t xml:space="preserve"> настоящего Порядка, уведомив заявителя (представителя заявителя), подавшего декларацию.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В течение 5 рабочих дней со дня истечения сроков рассмотрения декларации, предусмотренных </w:t>
      </w:r>
      <w:hyperlink w:history="0" w:anchor="P66" w:tooltip="10. Декларация рассматривается в течение 30 рабочих дней со дня представления декларации.">
        <w:r>
          <w:rPr>
            <w:sz w:val="20"/>
            <w:color w:val="0000ff"/>
          </w:rPr>
          <w:t xml:space="preserve">пунктами 10</w:t>
        </w:r>
      </w:hyperlink>
      <w:r>
        <w:rPr>
          <w:sz w:val="20"/>
        </w:rPr>
        <w:t xml:space="preserve"> и </w:t>
      </w:r>
      <w:hyperlink w:history="0" w:anchor="P67" w:tooltip="11. В случаях, предусмотренных частью 6 статьи 12, частями 5 и 20 статьи 14 Федерального закона от 3 июля 2016 г. N 237-ФЗ &quot;О государственной кадастровой оценке&quot; (Собрание законодательства Российской Федерации, 2016, N 27, ст. 4170; 2020, N 31, ст. 5028; далее - Федеральный закон о государственной кадастровой оценке), руководитель бюджетного учреждения либо уполномоченное на то лицо вправе продлить срок рассмотрения декларации не более чем на 30 рабочих дней, уведомив о продлении срока ее рассмотрения за...">
        <w:r>
          <w:rPr>
            <w:sz w:val="20"/>
            <w:color w:val="0000ff"/>
          </w:rPr>
          <w:t xml:space="preserve">11</w:t>
        </w:r>
      </w:hyperlink>
      <w:r>
        <w:rPr>
          <w:sz w:val="20"/>
        </w:rPr>
        <w:t xml:space="preserve"> настоящего Порядка, бюджетным учреждением заявителю (представителю заявителя) направляется уведомление с указанием учтенной информации, содержащейся в декларации, а также неучтенной информации и причин, по которым она не была учтена, по адресу электронной почты (при наличии), указанному в </w:t>
      </w:r>
      <w:hyperlink w:history="0" w:anchor="P116" w:tooltip="2.2">
        <w:r>
          <w:rPr>
            <w:sz w:val="20"/>
            <w:color w:val="0000ff"/>
          </w:rPr>
          <w:t xml:space="preserve">пункте 2.2 раздела 2</w:t>
        </w:r>
      </w:hyperlink>
      <w:r>
        <w:rPr>
          <w:sz w:val="20"/>
        </w:rPr>
        <w:t xml:space="preserve"> или в </w:t>
      </w:r>
      <w:hyperlink w:history="0" w:anchor="P130" w:tooltip="3.3">
        <w:r>
          <w:rPr>
            <w:sz w:val="20"/>
            <w:color w:val="0000ff"/>
          </w:rPr>
          <w:t xml:space="preserve">пункте 3.3 раздела 3</w:t>
        </w:r>
      </w:hyperlink>
      <w:r>
        <w:rPr>
          <w:sz w:val="20"/>
        </w:rPr>
        <w:t xml:space="preserve"> декларации, форма которой приведена в приложении N 2 к настоящему приказу.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в декларации не указан адрес электронной почты заявителя (представителя заявителя), уведомление, предусмотренное настоящим пунктом, направляется почтовым отправлением по адресу, указанному в </w:t>
      </w:r>
      <w:hyperlink w:history="0" w:anchor="P116" w:tooltip="2.2">
        <w:r>
          <w:rPr>
            <w:sz w:val="20"/>
            <w:color w:val="0000ff"/>
          </w:rPr>
          <w:t xml:space="preserve">пункте 2.2 раздела 2</w:t>
        </w:r>
      </w:hyperlink>
      <w:r>
        <w:rPr>
          <w:sz w:val="20"/>
        </w:rPr>
        <w:t xml:space="preserve"> или в </w:t>
      </w:r>
      <w:hyperlink w:history="0" w:anchor="P130" w:tooltip="3.3">
        <w:r>
          <w:rPr>
            <w:sz w:val="20"/>
            <w:color w:val="0000ff"/>
          </w:rPr>
          <w:t xml:space="preserve">пункте 3.3 раздела 3</w:t>
        </w:r>
      </w:hyperlink>
      <w:r>
        <w:rPr>
          <w:sz w:val="20"/>
        </w:rPr>
        <w:t xml:space="preserve"> декларации, форма которой приведена в приложении N 2 к настоящему приказу.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Сведения об объектах недвижимости (адрес или описание местоположения (при отсутствии присвоенного адреса), кадастровый номер), в отношении которых рассмотрены декларации, ежеквартально публикуются бюджетным учреждением на своем официальном сайте в информационно-телекоммуникационной сети "Интернет" не позднее пятого числа месяца, следующего за прошедшим кварталом.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приказу Росреестра</w:t>
      </w:r>
    </w:p>
    <w:p>
      <w:pPr>
        <w:pStyle w:val="0"/>
        <w:jc w:val="right"/>
      </w:pPr>
      <w:r>
        <w:rPr>
          <w:sz w:val="20"/>
        </w:rPr>
        <w:t xml:space="preserve">от 24 мая 2021 г. N П/0216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left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70"/>
        <w:gridCol w:w="340"/>
        <w:gridCol w:w="567"/>
        <w:gridCol w:w="958"/>
        <w:gridCol w:w="340"/>
        <w:gridCol w:w="615"/>
        <w:gridCol w:w="842"/>
        <w:gridCol w:w="599"/>
        <w:gridCol w:w="1439"/>
        <w:gridCol w:w="340"/>
        <w:gridCol w:w="322"/>
        <w:gridCol w:w="544"/>
        <w:gridCol w:w="583"/>
        <w:gridCol w:w="609"/>
        <w:gridCol w:w="340"/>
      </w:tblGrid>
      <w:tr>
        <w:tblPrEx>
          <w:tblBorders>
            <w:left w:val="nil"/>
            <w:right w:val="nil"/>
            <w:insideV w:val="nil"/>
            <w:insideH w:val="nil"/>
          </w:tblBorders>
        </w:tblPrEx>
        <w:tc>
          <w:tcPr>
            <w:gridSpan w:val="6"/>
            <w:tcW w:w="369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9"/>
            <w:tcW w:w="5618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V w:val="nil"/>
            <w:insideH w:val="nil"/>
          </w:tblBorders>
        </w:tblPrEx>
        <w:tc>
          <w:tcPr>
            <w:gridSpan w:val="6"/>
            <w:tcW w:w="369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9"/>
            <w:tcW w:w="5618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(полное наименование бюджетного учреждения, созданного субъектом Российской Федерации и наделенного полномочиями, связанными с определением кадастровой стоимости)</w:t>
            </w:r>
          </w:p>
        </w:tc>
      </w:tr>
      <w:tr>
        <w:tblPrEx>
          <w:tblBorders>
            <w:left w:val="nil"/>
            <w:right w:val="nil"/>
            <w:insideH w:val="nil"/>
          </w:tblBorders>
        </w:tblPrEx>
        <w:tc>
          <w:tcPr>
            <w:gridSpan w:val="15"/>
            <w:tcW w:w="9308" w:type="dxa"/>
            <w:tcBorders>
              <w:top w:val="nil"/>
              <w:left w:val="nil"/>
              <w:bottom w:val="nil"/>
              <w:right w:val="nil"/>
            </w:tcBorders>
          </w:tcPr>
          <w:bookmarkStart w:id="96" w:name="P96"/>
          <w:bookmarkEnd w:id="96"/>
          <w:p>
            <w:pPr>
              <w:pStyle w:val="0"/>
              <w:jc w:val="center"/>
            </w:pPr>
            <w:r>
              <w:rPr>
                <w:sz w:val="20"/>
              </w:rPr>
              <w:t xml:space="preserve">Декларация о характеристиках объекта недвижимости</w:t>
            </w:r>
          </w:p>
        </w:tc>
      </w:tr>
      <w:tr>
        <w:tblPrEx>
          <w:tblBorders>
            <w:left w:val="nil"/>
            <w:right w:val="nil"/>
            <w:insideH w:val="nil"/>
          </w:tblBorders>
        </w:tblPrEx>
        <w:tc>
          <w:tcPr>
            <w:gridSpan w:val="15"/>
            <w:tcW w:w="9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right"/>
            </w:pPr>
            <w:r>
              <w:rPr>
                <w:sz w:val="20"/>
              </w:rPr>
              <w:t xml:space="preserve">Раздел 1</w:t>
            </w:r>
          </w:p>
        </w:tc>
      </w:tr>
      <w:tr>
        <w:tblPrEx>
          <w:tblBorders>
            <w:left w:val="nil"/>
            <w:right w:val="nil"/>
            <w:insideH w:val="nil"/>
          </w:tblBorders>
        </w:tblPrEx>
        <w:tc>
          <w:tcPr>
            <w:gridSpan w:val="15"/>
            <w:tcW w:w="9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Общие сведения об объекте недвижимости, заявителе (представителе заявителя)</w:t>
            </w:r>
          </w:p>
        </w:tc>
      </w:tr>
      <w:tr>
        <w:tblPrEx>
          <w:tblBorders>
            <w:left w:val="nil"/>
            <w:right w:val="nil"/>
            <w:insideH w:val="nil"/>
          </w:tblBorders>
        </w:tblPrEx>
        <w:tc>
          <w:tcPr>
            <w:gridSpan w:val="15"/>
            <w:tcW w:w="9308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gridSpan w:val="7"/>
            <w:tcW w:w="42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характеристики</w:t>
            </w:r>
          </w:p>
        </w:tc>
        <w:tc>
          <w:tcPr>
            <w:gridSpan w:val="7"/>
            <w:tcW w:w="41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Значение (описание) характеристики</w:t>
            </w:r>
          </w:p>
        </w:tc>
      </w:tr>
      <w:tr>
        <w:tc>
          <w:tcPr>
            <w:tcW w:w="870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gridSpan w:val="14"/>
            <w:tcW w:w="8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Основные характеристики объекта недвижимости</w:t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</w:t>
            </w:r>
          </w:p>
        </w:tc>
        <w:tc>
          <w:tcPr>
            <w:gridSpan w:val="7"/>
            <w:tcW w:w="426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Вид объекта недвижимости (земельный участок, здание, помещение, сооружение, объект незавершенного строительства, машино-место)</w:t>
            </w:r>
          </w:p>
        </w:tc>
        <w:tc>
          <w:tcPr>
            <w:gridSpan w:val="7"/>
            <w:tcW w:w="41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</w:t>
            </w:r>
          </w:p>
        </w:tc>
        <w:tc>
          <w:tcPr>
            <w:gridSpan w:val="7"/>
            <w:tcW w:w="426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Кадастровый номер</w:t>
            </w:r>
          </w:p>
        </w:tc>
        <w:tc>
          <w:tcPr>
            <w:gridSpan w:val="7"/>
            <w:tcW w:w="41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gridSpan w:val="14"/>
            <w:tcW w:w="8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 о заявителе</w:t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</w:t>
            </w:r>
          </w:p>
        </w:tc>
        <w:tc>
          <w:tcPr>
            <w:gridSpan w:val="7"/>
            <w:tcW w:w="426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Фамилия, имя, отчество (последнее - при наличии) физического лица; организационно-правовая форма юридического лица и его полное наименование, соответствующие информации, содержащейся в Едином государственном реестре юридических лиц</w:t>
            </w:r>
          </w:p>
        </w:tc>
        <w:tc>
          <w:tcPr>
            <w:gridSpan w:val="7"/>
            <w:tcW w:w="41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bookmarkStart w:id="116" w:name="P116"/>
          <w:bookmarkEnd w:id="116"/>
          <w:p>
            <w:pPr>
              <w:pStyle w:val="0"/>
              <w:jc w:val="center"/>
            </w:pPr>
            <w:r>
              <w:rPr>
                <w:sz w:val="20"/>
              </w:rPr>
              <w:t xml:space="preserve">2.2</w:t>
            </w:r>
          </w:p>
        </w:tc>
        <w:tc>
          <w:tcPr>
            <w:gridSpan w:val="7"/>
            <w:tcW w:w="426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Почтовый адрес (почтовый индекс, наименование субъекта Российской Федерации, район, город, населенный пункт, улица, номер дома (здания, владения), корпус (строение, литера), номер квартиры (помещения) и (или) адрес электронной почты (при наличии), по которым должны быть направлены уведомление о причинах, по которым декларация не подлежит рассмотрению, и (или) уведомление о продлении срока рассмотрения декларации, и (или) уведомление с указанием учтенной и (или) неучтенной информации, содержащейся в декларации</w:t>
            </w:r>
          </w:p>
        </w:tc>
        <w:tc>
          <w:tcPr>
            <w:gridSpan w:val="7"/>
            <w:tcW w:w="41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2.3</w:t>
            </w:r>
          </w:p>
        </w:tc>
        <w:tc>
          <w:tcPr>
            <w:gridSpan w:val="7"/>
            <w:tcW w:w="4261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Телефон для связи (по желанию)</w:t>
            </w:r>
          </w:p>
        </w:tc>
        <w:tc>
          <w:tcPr>
            <w:gridSpan w:val="7"/>
            <w:tcW w:w="41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gridSpan w:val="14"/>
            <w:tcW w:w="843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 о представителе заявителя</w:t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</w:t>
            </w:r>
          </w:p>
        </w:tc>
        <w:tc>
          <w:tcPr>
            <w:gridSpan w:val="7"/>
            <w:tcW w:w="4261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Фамилия, имя, отчество физического лица (последнее - при наличии); организационно-правовая форма юридического лица и его полное наименование, соответствующие информации, содержащейся в Едином государственном реестре юридических лиц</w:t>
            </w:r>
          </w:p>
        </w:tc>
        <w:tc>
          <w:tcPr>
            <w:gridSpan w:val="7"/>
            <w:tcW w:w="41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3.2</w:t>
            </w:r>
          </w:p>
        </w:tc>
        <w:tc>
          <w:tcPr>
            <w:gridSpan w:val="7"/>
            <w:tcW w:w="4261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Наименование и реквизиты документа, удостоверяющего полномочия</w:t>
            </w:r>
          </w:p>
        </w:tc>
        <w:tc>
          <w:tcPr>
            <w:gridSpan w:val="7"/>
            <w:tcW w:w="41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bookmarkStart w:id="130" w:name="P130"/>
          <w:bookmarkEnd w:id="130"/>
          <w:p>
            <w:pPr>
              <w:pStyle w:val="0"/>
              <w:jc w:val="center"/>
            </w:pPr>
            <w:r>
              <w:rPr>
                <w:sz w:val="20"/>
              </w:rPr>
              <w:t xml:space="preserve">3.3</w:t>
            </w:r>
          </w:p>
        </w:tc>
        <w:tc>
          <w:tcPr>
            <w:gridSpan w:val="7"/>
            <w:tcW w:w="426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Почтовый адрес (почтовый индекс, наименование субъекта Российской Федерации, район, город, населенный пункт, улица, номер дома (здания, владения), корпус (строение, литера), номер квартиры (помещения) и (или) адрес электронной почты (при наличии), по которым должны быть направлены уведомление о причинах, по которым декларация не подлежит рассмотрению, и (или) уведомление о продлении срока рассмотрения декларации, и (или) уведомление с указанием учтенной и (или) неучтенной информации, содержащейся в декларации</w:t>
            </w:r>
          </w:p>
        </w:tc>
        <w:tc>
          <w:tcPr>
            <w:gridSpan w:val="7"/>
            <w:tcW w:w="41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3.4</w:t>
            </w:r>
          </w:p>
        </w:tc>
        <w:tc>
          <w:tcPr>
            <w:gridSpan w:val="7"/>
            <w:tcW w:w="4261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Телефон для связи (по желанию)</w:t>
            </w:r>
          </w:p>
        </w:tc>
        <w:tc>
          <w:tcPr>
            <w:gridSpan w:val="7"/>
            <w:tcW w:w="41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gridSpan w:val="14"/>
            <w:tcW w:w="8438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Достоверность и полноту сведений, указанных в настоящей декларации, подтверждаю</w:t>
            </w:r>
          </w:p>
        </w:tc>
      </w:tr>
      <w:tr>
        <w:tblPrEx>
          <w:tblBorders>
            <w:left w:val="nil"/>
            <w:insideV w:val="nil"/>
            <w:insideH w:val="nil"/>
          </w:tblBorders>
        </w:tblPrEx>
        <w:tc>
          <w:tcPr>
            <w:tcBorders>
              <w:left w:val="single" w:sz="4"/>
              <w:right w:val="single" w:sz="4"/>
            </w:tcBorders>
            <w:vMerge w:val="continue"/>
          </w:tcPr>
          <w:p/>
        </w:tc>
        <w:tc>
          <w:tcPr>
            <w:tcW w:w="340" w:type="dxa"/>
            <w:tcBorders>
              <w:top w:val="nil"/>
              <w:left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52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349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2058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insideV w:val="nil"/>
          </w:tblBorders>
        </w:tblPrEx>
        <w:tc>
          <w:tcPr>
            <w:tcBorders>
              <w:left w:val="single" w:sz="4"/>
              <w:right w:val="single" w:sz="4"/>
            </w:tcBorders>
            <w:vMerge w:val="continue"/>
          </w:tcPr>
          <w:p/>
        </w:tc>
        <w:tc>
          <w:tcPr>
            <w:tcW w:w="340" w:type="dxa"/>
            <w:tcBorders>
              <w:top w:val="nil"/>
              <w:lef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52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349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(фамилия имя отчество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(последнее - при наличии)</w:t>
            </w:r>
          </w:p>
        </w:tc>
        <w:tc>
          <w:tcPr>
            <w:tcW w:w="34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205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(дата)</w:t>
            </w:r>
          </w:p>
        </w:tc>
        <w:tc>
          <w:tcPr>
            <w:tcW w:w="340" w:type="dxa"/>
            <w:tcBorders>
              <w:top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V w:val="nil"/>
          </w:tblBorders>
        </w:tblPrEx>
        <w:tc>
          <w:tcPr>
            <w:tcW w:w="87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0"/>
            <w:tcW w:w="6362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207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V w:val="nil"/>
            <w:insideH w:val="nil"/>
          </w:tblBorders>
        </w:tblPrEx>
        <w:tc>
          <w:tcPr>
            <w:tcW w:w="87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0"/>
            <w:tcW w:w="6362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2076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</w:tr>
      <w:tr>
        <w:tblPrEx>
          <w:tblBorders>
            <w:left w:val="nil"/>
            <w:right w:val="nil"/>
            <w:insideV w:val="nil"/>
            <w:insideH w:val="nil"/>
          </w:tblBorders>
        </w:tblPrEx>
        <w:tc>
          <w:tcPr>
            <w:tcW w:w="87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0"/>
            <w:tcW w:w="636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2076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87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gridSpan w:val="14"/>
            <w:tcW w:w="8438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Согласие на обработку персональных данных</w:t>
            </w:r>
          </w:p>
        </w:tc>
      </w:tr>
      <w:tr>
        <w:tblPrEx>
          <w:tblBorders>
            <w:insideV w:val="nil"/>
            <w:insideH w:val="nil"/>
          </w:tblBorders>
        </w:tblPrEx>
        <w:tc>
          <w:tcPr>
            <w:tcW w:w="870" w:type="dxa"/>
            <w:tcBorders>
              <w:top w:val="nil"/>
              <w:left w:val="single" w:sz="4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907" w:type="dxa"/>
            <w:vAlign w:val="center"/>
            <w:tcBorders>
              <w:top w:val="nil"/>
              <w:left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0"/>
            <w:tcW w:w="6582" w:type="dxa"/>
            <w:vAlign w:val="center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949" w:type="dxa"/>
            <w:tcBorders>
              <w:top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V w:val="nil"/>
            <w:insideH w:val="nil"/>
          </w:tblBorders>
        </w:tblPrEx>
        <w:tc>
          <w:tcPr>
            <w:tcW w:w="870" w:type="dxa"/>
            <w:tcBorders>
              <w:top w:val="nil"/>
              <w:left w:val="single" w:sz="4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907" w:type="dxa"/>
            <w:tcBorders>
              <w:top w:val="nil"/>
              <w:left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0"/>
            <w:tcW w:w="6582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(наименование бюджетного учреждения, осуществляющего обработку персональных данных)</w:t>
            </w:r>
          </w:p>
        </w:tc>
        <w:tc>
          <w:tcPr>
            <w:gridSpan w:val="2"/>
            <w:tcW w:w="949" w:type="dxa"/>
            <w:tcBorders>
              <w:top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V w:val="nil"/>
            <w:insideH w:val="nil"/>
          </w:tblBorders>
        </w:tblPrEx>
        <w:tc>
          <w:tcPr>
            <w:tcW w:w="870" w:type="dxa"/>
            <w:tcBorders>
              <w:top w:val="nil"/>
              <w:left w:val="single" w:sz="4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907" w:type="dxa"/>
            <w:tcBorders>
              <w:top w:val="nil"/>
              <w:left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0"/>
            <w:tcW w:w="658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949" w:type="dxa"/>
            <w:tcBorders>
              <w:top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V w:val="nil"/>
            <w:insideH w:val="nil"/>
          </w:tblBorders>
        </w:tblPrEx>
        <w:tc>
          <w:tcPr>
            <w:tcW w:w="870" w:type="dxa"/>
            <w:tcBorders>
              <w:top w:val="nil"/>
              <w:left w:val="single" w:sz="4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907" w:type="dxa"/>
            <w:vAlign w:val="center"/>
            <w:tcBorders>
              <w:top w:val="nil"/>
              <w:left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0"/>
            <w:tcW w:w="6582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(фамилия, имя, отчество (последнее - при наличии) субъекта персональных данных)</w:t>
            </w:r>
          </w:p>
        </w:tc>
        <w:tc>
          <w:tcPr>
            <w:gridSpan w:val="2"/>
            <w:tcW w:w="949" w:type="dxa"/>
            <w:tcBorders>
              <w:top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V w:val="nil"/>
            <w:insideH w:val="nil"/>
          </w:tblBorders>
        </w:tblPrEx>
        <w:tc>
          <w:tcPr>
            <w:tcW w:w="870" w:type="dxa"/>
            <w:tcBorders>
              <w:top w:val="nil"/>
              <w:left w:val="single" w:sz="4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907" w:type="dxa"/>
            <w:tcBorders>
              <w:top w:val="nil"/>
              <w:left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0"/>
            <w:tcW w:w="658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949" w:type="dxa"/>
            <w:tcBorders>
              <w:top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V w:val="nil"/>
            <w:insideH w:val="nil"/>
          </w:tblBorders>
        </w:tblPrEx>
        <w:tc>
          <w:tcPr>
            <w:tcW w:w="870" w:type="dxa"/>
            <w:tcBorders>
              <w:top w:val="nil"/>
              <w:left w:val="single" w:sz="4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907" w:type="dxa"/>
            <w:vAlign w:val="center"/>
            <w:tcBorders>
              <w:top w:val="nil"/>
              <w:left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0"/>
            <w:tcW w:w="6582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(адрес места жительства субъекта персональных данных)</w:t>
            </w:r>
          </w:p>
        </w:tc>
        <w:tc>
          <w:tcPr>
            <w:gridSpan w:val="2"/>
            <w:tcW w:w="949" w:type="dxa"/>
            <w:tcBorders>
              <w:top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V w:val="nil"/>
            <w:insideH w:val="nil"/>
          </w:tblBorders>
        </w:tblPrEx>
        <w:tc>
          <w:tcPr>
            <w:tcW w:w="870" w:type="dxa"/>
            <w:tcBorders>
              <w:top w:val="nil"/>
              <w:left w:val="single" w:sz="4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907" w:type="dxa"/>
            <w:tcBorders>
              <w:top w:val="nil"/>
              <w:left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0"/>
            <w:tcW w:w="658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949" w:type="dxa"/>
            <w:tcBorders>
              <w:top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V w:val="nil"/>
            <w:insideH w:val="nil"/>
          </w:tblBorders>
        </w:tblPrEx>
        <w:tc>
          <w:tcPr>
            <w:tcW w:w="870" w:type="dxa"/>
            <w:tcBorders>
              <w:top w:val="nil"/>
              <w:left w:val="single" w:sz="4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907" w:type="dxa"/>
            <w:vAlign w:val="center"/>
            <w:tcBorders>
              <w:top w:val="nil"/>
              <w:left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0"/>
            <w:tcW w:w="6582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(документ, удостоверяющий личность субъекта персональных данных, его серия и номер, дата выдачи и выдавший орган)</w:t>
            </w:r>
          </w:p>
        </w:tc>
        <w:tc>
          <w:tcPr>
            <w:gridSpan w:val="2"/>
            <w:tcW w:w="949" w:type="dxa"/>
            <w:tcBorders>
              <w:top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87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4"/>
            <w:tcW w:w="8438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Подтверждаю согласие на обработку моих персональных данных, предусмотренную </w:t>
            </w:r>
            <w:hyperlink w:history="0" r:id="rId18" w:tooltip="Федеральный закон от 27.07.2006 N 152-ФЗ (ред. от 08.08.2024) &quot;О персональных данных&quot; {КонсультантПлюс}">
              <w:r>
                <w:rPr>
                  <w:sz w:val="20"/>
                  <w:color w:val="0000ff"/>
                </w:rPr>
                <w:t xml:space="preserve">пунктом 3 статьи 3</w:t>
              </w:r>
            </w:hyperlink>
            <w:r>
              <w:rPr>
                <w:sz w:val="20"/>
              </w:rPr>
              <w:t xml:space="preserve"> Федерального закона от 27 июля 2006 г. N 152-ФЗ "О персональных данных" (Собрание законодательства Российской Федерации, 2006, N 31, ст. 3451; 2011, N 31, ст. 4701), в целях рассмотрения декларации о характеристиках объекта недвижимости бюджетным учреждением, созданным субъектом Российской Федерации и наделенным полномочиями, связанными с определением кадастровой стоимости, в соответствии с Федеральным </w:t>
            </w:r>
            <w:hyperlink w:history="0" r:id="rId19" w:tooltip="Федеральный закон от 03.07.2016 N 237-ФЗ (ред. от 23.11.2024) &quot;О государственной кадастровой оценке&quot;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</w:rPr>
              <w:t xml:space="preserve"> от 3 июля 2016 г. N 237-ФЗ "О государственной кадастровой оценке" (Собрание законодательства Российской Федерации, 2016, N 27, ст. 4170; 2020, N 31, ст. 5028).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Мне известно, что настоящее согласие действует бессрочно и что согласие на обработку персональных данных может быть отозвано на основании письменного заявления в произвольной форме.</w:t>
            </w:r>
          </w:p>
        </w:tc>
      </w:tr>
      <w:tr>
        <w:tblPrEx>
          <w:tblBorders>
            <w:insideH w:val="nil"/>
          </w:tblBorders>
        </w:tblPrEx>
        <w:tc>
          <w:tcPr>
            <w:tcW w:w="87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4"/>
            <w:tcW w:w="8438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V w:val="nil"/>
            <w:insideH w:val="nil"/>
          </w:tblBorders>
        </w:tblPrEx>
        <w:tc>
          <w:tcPr>
            <w:tcW w:w="870" w:type="dxa"/>
            <w:tcBorders>
              <w:top w:val="nil"/>
              <w:left w:val="single" w:sz="4"/>
              <w:right w:val="single" w:sz="4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52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349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2058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V w:val="nil"/>
          </w:tblBorders>
        </w:tblPrEx>
        <w:tc>
          <w:tcPr>
            <w:tcBorders>
              <w:top w:val="nil"/>
              <w:left w:val="single" w:sz="4"/>
              <w:right w:val="single" w:sz="4"/>
            </w:tcBorders>
            <w:vMerge w:val="continue"/>
          </w:tcPr>
          <w:p/>
        </w:tc>
        <w:tc>
          <w:tcPr>
            <w:tcW w:w="340" w:type="dxa"/>
            <w:tcBorders>
              <w:top w:val="nil"/>
              <w:lef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52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349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(фамилия имя отчество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(последнее - при наличии)</w:t>
            </w:r>
          </w:p>
        </w:tc>
        <w:tc>
          <w:tcPr>
            <w:tcW w:w="34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205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(дата)</w:t>
            </w:r>
          </w:p>
        </w:tc>
        <w:tc>
          <w:tcPr>
            <w:tcW w:w="340" w:type="dxa"/>
            <w:tcBorders>
              <w:top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H w:val="nil"/>
          </w:tblBorders>
        </w:tblPrEx>
        <w:tc>
          <w:tcPr>
            <w:gridSpan w:val="15"/>
            <w:tcW w:w="9308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H w:val="nil"/>
          </w:tblBorders>
        </w:tblPrEx>
        <w:tc>
          <w:tcPr>
            <w:gridSpan w:val="15"/>
            <w:tcW w:w="9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right"/>
            </w:pPr>
            <w:r>
              <w:rPr>
                <w:sz w:val="20"/>
              </w:rPr>
              <w:t xml:space="preserve">Раздел 2</w:t>
            </w:r>
          </w:p>
        </w:tc>
      </w:tr>
      <w:tr>
        <w:tblPrEx>
          <w:tblBorders>
            <w:left w:val="nil"/>
            <w:right w:val="nil"/>
            <w:insideH w:val="nil"/>
          </w:tblBorders>
        </w:tblPrEx>
        <w:tc>
          <w:tcPr>
            <w:gridSpan w:val="15"/>
            <w:tcW w:w="9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Характеристики объекта недвижимости (для земельного участка)</w:t>
            </w:r>
          </w:p>
        </w:tc>
      </w:tr>
      <w:tr>
        <w:tblPrEx>
          <w:tblBorders>
            <w:left w:val="nil"/>
            <w:right w:val="nil"/>
            <w:insideH w:val="nil"/>
          </w:tblBorders>
        </w:tblPrEx>
        <w:tc>
          <w:tcPr>
            <w:gridSpan w:val="15"/>
            <w:tcW w:w="9308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gridSpan w:val="6"/>
            <w:tcW w:w="36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характеристики</w:t>
            </w:r>
          </w:p>
        </w:tc>
        <w:tc>
          <w:tcPr>
            <w:gridSpan w:val="2"/>
            <w:tcW w:w="20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Значение (описание) характеристики (если значение (описание) не заявляется, соответствующие ему пункты не заполняются)</w:t>
            </w:r>
          </w:p>
        </w:tc>
        <w:tc>
          <w:tcPr>
            <w:gridSpan w:val="6"/>
            <w:tcW w:w="27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Порядковый номер документа (копии документа)/материала, подтверждающего значение (описание) характеристики, содержащейся в декларации, в соответствии с </w:t>
            </w:r>
            <w:hyperlink w:history="0" w:anchor="P664" w:tooltip="Раздел 4">
              <w:r>
                <w:rPr>
                  <w:sz w:val="20"/>
                  <w:color w:val="0000ff"/>
                </w:rPr>
                <w:t xml:space="preserve">разделом 4</w:t>
              </w:r>
            </w:hyperlink>
            <w:r>
              <w:rPr>
                <w:sz w:val="20"/>
              </w:rPr>
              <w:t xml:space="preserve"> декларации</w:t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gridSpan w:val="6"/>
            <w:tcW w:w="36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Адрес или описание местоположения (при отсутствии присвоенного адреса) земельного участка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V w:val="nil"/>
          </w:tblBorders>
        </w:tblPrEx>
        <w:tc>
          <w:tcPr>
            <w:tcW w:w="87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1"/>
            <w:tcW w:w="6906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V w:val="nil"/>
            <w:insideH w:val="nil"/>
          </w:tblBorders>
        </w:tblPrEx>
        <w:tc>
          <w:tcPr>
            <w:tcW w:w="87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1"/>
            <w:tcW w:w="690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</w:tr>
      <w:tr>
        <w:tblPrEx>
          <w:tblBorders>
            <w:left w:val="nil"/>
            <w:right w:val="nil"/>
            <w:insideV w:val="nil"/>
            <w:insideH w:val="nil"/>
          </w:tblBorders>
        </w:tblPrEx>
        <w:tc>
          <w:tcPr>
            <w:tcW w:w="87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1"/>
            <w:tcW w:w="6906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Площадь, кв. м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Категория земель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Вид (виды) разрешенного использования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gridSpan w:val="6"/>
            <w:tcW w:w="3662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Фактическое использование земельного участка, соответствующее виду разрешенного использования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Сведения о лесах, водных объектах и об иных природных объектах, расположенных в пределах земельного участка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Сведения о том, что земельный участок полностью или частично расположен в границах зоны с особыми условиями использования территории или территории объекта культурного наследия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Сведения о том, что земельный участок расположен в границах особо охраняемой природной территории, охотничьих угодий, лесничеств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Сведения о том, что земельный участок расположен в границах особой экономической зоны, территории опережающего социально-экономического развития, зоны территориального развития в Российской Федерации, игорной зоны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Сведения об установленных сервитутах, публичных сервитутах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Удаленность земельного участка от автомобильных дорог (в метрах)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Сведения о наличии/отсутствии подъездных путей, обеспечивающих непосредственный доступ к земельному участку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Описание инженерных коммуникаций, в том числе их удаленность от земельного участка (в метрах). Если инженерные коммуникации отсутствуют, может быть указано расстояние (в метрах) до магистральных инженерных коммуникаций, а также возможность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V w:val="nil"/>
          </w:tblBorders>
        </w:tblPrEx>
        <w:tc>
          <w:tcPr>
            <w:tcW w:w="87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1"/>
            <w:tcW w:w="6906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V w:val="nil"/>
            <w:insideH w:val="nil"/>
          </w:tblBorders>
        </w:tblPrEx>
        <w:tc>
          <w:tcPr>
            <w:tcW w:w="87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1"/>
            <w:tcW w:w="690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</w:tr>
      <w:tr>
        <w:tblPrEx>
          <w:tblBorders>
            <w:left w:val="nil"/>
            <w:right w:val="nil"/>
            <w:insideV w:val="nil"/>
            <w:insideH w:val="nil"/>
          </w:tblBorders>
        </w:tblPrEx>
        <w:tc>
          <w:tcPr>
            <w:tcW w:w="87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1"/>
            <w:tcW w:w="6906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или невозможность подключения к ним объектов, расположенных на соответствующем земельном участке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13.1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Электроснабжение: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13.1.1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Наличие/отсутствие подключения к электрическим сетям инженерно-технического обеспечения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13.1.2</w:t>
            </w:r>
          </w:p>
        </w:tc>
        <w:tc>
          <w:tcPr>
            <w:gridSpan w:val="6"/>
            <w:tcW w:w="3662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Возможность/отсутствие возможности подключения к электрическим сетям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13.1.3</w:t>
            </w:r>
          </w:p>
        </w:tc>
        <w:tc>
          <w:tcPr>
            <w:gridSpan w:val="6"/>
            <w:tcW w:w="3662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Мощность электрической сети, к которой подключен объект недвижимости, либо мощность сети, к которой возможно подключение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13.2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Газоснабжение: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13.2.1</w:t>
            </w:r>
          </w:p>
        </w:tc>
        <w:tc>
          <w:tcPr>
            <w:gridSpan w:val="6"/>
            <w:tcW w:w="3662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Наличие/отсутствие подключения к сетям газораспределения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13.2.2</w:t>
            </w:r>
          </w:p>
        </w:tc>
        <w:tc>
          <w:tcPr>
            <w:gridSpan w:val="6"/>
            <w:tcW w:w="3662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Возможность/отсутствие возможности подключения к сетям газораспределения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13.2.3</w:t>
            </w:r>
          </w:p>
        </w:tc>
        <w:tc>
          <w:tcPr>
            <w:gridSpan w:val="6"/>
            <w:tcW w:w="3662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Мощность сетей газораспределения, к которым подключен объект недвижимости, либо мощность сети, к которой возможно подключение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13.3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Водоснабжение: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13.3.1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Наличие/отсутствие централизованного подключения к системе водоснабжения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13.3.2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Возможность/отсутствие возможности подключения к системе водоснабжения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13.4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Теплоснабжение: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13.4.1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Наличие/отсутствие централизованного подключения к системе теплоснабжения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13.4.2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Возможность/отсутствие возможности подключения к системе теплоснабжения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13.5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Водоотведение: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13.5.1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Наличие/отсутствие централизованного подключения к системе водоотведения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V w:val="nil"/>
          </w:tblBorders>
        </w:tblPrEx>
        <w:tc>
          <w:tcPr>
            <w:tcW w:w="87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1"/>
            <w:tcW w:w="6906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V w:val="nil"/>
            <w:insideH w:val="nil"/>
          </w:tblBorders>
        </w:tblPrEx>
        <w:tc>
          <w:tcPr>
            <w:tcW w:w="87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1"/>
            <w:tcW w:w="690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</w:tr>
      <w:tr>
        <w:tblPrEx>
          <w:tblBorders>
            <w:left w:val="nil"/>
            <w:right w:val="nil"/>
            <w:insideV w:val="nil"/>
            <w:insideH w:val="nil"/>
          </w:tblBorders>
        </w:tblPrEx>
        <w:tc>
          <w:tcPr>
            <w:tcW w:w="87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1"/>
            <w:tcW w:w="6906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13.5.2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Возможность/отсутствие возможности подключения к системе водоотведения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Удаленность земельного участка от ближайшего водного объекта (в метрах), его тип и наименование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  <w:tc>
          <w:tcPr>
            <w:gridSpan w:val="6"/>
            <w:tcW w:w="3662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Удаленность земельного участка от ближайшей рекреационной зоны (в метрах), ее тип и наименование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Удаленность земельного участка от железных дорог (в метрах)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</w:t>
            </w:r>
          </w:p>
        </w:tc>
        <w:tc>
          <w:tcPr>
            <w:gridSpan w:val="6"/>
            <w:tcW w:w="3662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Удаленность земельного участка от железнодорожных вокзалов/станций (в метрах)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Удаленность земельного участка от зоны разработки полезных ископаемых, зон с особыми условиями использования территорий (в метрах)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Вид сельскохозяйственных угодий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Показатели состояния почв земельного участка сельскохозяйственного назначения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 недостатков, препятствующих рациональному использованию и охране земель, в том числе вклинивание, вкрапливание, изломанность границ, чересполосица, невозможность размещения объектов недвижимости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87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</w:t>
            </w:r>
          </w:p>
        </w:tc>
        <w:tc>
          <w:tcPr>
            <w:gridSpan w:val="14"/>
            <w:tcW w:w="8438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Достоверность и полноту сведений, указанных в настоящей декларации, подтверждаю</w:t>
            </w:r>
          </w:p>
        </w:tc>
      </w:tr>
      <w:tr>
        <w:tblPrEx>
          <w:tblBorders>
            <w:insideV w:val="nil"/>
            <w:insideH w:val="nil"/>
          </w:tblBorders>
        </w:tblPrEx>
        <w:tc>
          <w:tcPr>
            <w:tcW w:w="870" w:type="dxa"/>
            <w:tcBorders>
              <w:top w:val="nil"/>
              <w:left w:val="single" w:sz="4"/>
              <w:right w:val="single" w:sz="4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52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349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2058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V w:val="nil"/>
          </w:tblBorders>
        </w:tblPrEx>
        <w:tc>
          <w:tcPr>
            <w:tcBorders>
              <w:top w:val="nil"/>
              <w:left w:val="single" w:sz="4"/>
              <w:right w:val="single" w:sz="4"/>
            </w:tcBorders>
            <w:vMerge w:val="continue"/>
          </w:tcPr>
          <w:p/>
        </w:tc>
        <w:tc>
          <w:tcPr>
            <w:tcW w:w="340" w:type="dxa"/>
            <w:tcBorders>
              <w:top w:val="nil"/>
              <w:lef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52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349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(фамилия имя отчество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(последнее - при наличии)</w:t>
            </w:r>
          </w:p>
        </w:tc>
        <w:tc>
          <w:tcPr>
            <w:tcW w:w="34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205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(дата)</w:t>
            </w:r>
          </w:p>
        </w:tc>
        <w:tc>
          <w:tcPr>
            <w:tcW w:w="340" w:type="dxa"/>
            <w:tcBorders>
              <w:top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V w:val="nil"/>
          </w:tblBorders>
        </w:tblPrEx>
        <w:tc>
          <w:tcPr>
            <w:gridSpan w:val="12"/>
            <w:tcW w:w="7776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V w:val="nil"/>
            <w:insideH w:val="nil"/>
          </w:tblBorders>
        </w:tblPrEx>
        <w:tc>
          <w:tcPr>
            <w:gridSpan w:val="12"/>
            <w:tcW w:w="7776" w:type="dxa"/>
            <w:tcBorders>
              <w:top w:val="nil"/>
              <w:bottom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</w:tr>
      <w:tr>
        <w:tblPrEx>
          <w:tblBorders>
            <w:left w:val="nil"/>
            <w:right w:val="nil"/>
            <w:insideH w:val="nil"/>
          </w:tblBorders>
        </w:tblPrEx>
        <w:tc>
          <w:tcPr>
            <w:gridSpan w:val="15"/>
            <w:tcW w:w="9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H w:val="nil"/>
          </w:tblBorders>
        </w:tblPrEx>
        <w:tc>
          <w:tcPr>
            <w:gridSpan w:val="15"/>
            <w:tcW w:w="9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right"/>
            </w:pPr>
            <w:r>
              <w:rPr>
                <w:sz w:val="20"/>
              </w:rPr>
              <w:t xml:space="preserve">Раздел 3</w:t>
            </w:r>
          </w:p>
        </w:tc>
      </w:tr>
      <w:tr>
        <w:tblPrEx>
          <w:tblBorders>
            <w:left w:val="nil"/>
            <w:right w:val="nil"/>
            <w:insideH w:val="nil"/>
          </w:tblBorders>
        </w:tblPrEx>
        <w:tc>
          <w:tcPr>
            <w:gridSpan w:val="15"/>
            <w:tcW w:w="9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Характеристики объекта недвижимости (для здания, помещения, сооружения, объекта незавершенного строительства, машино-места)</w:t>
            </w:r>
          </w:p>
        </w:tc>
      </w:tr>
      <w:tr>
        <w:tblPrEx>
          <w:tblBorders>
            <w:left w:val="nil"/>
            <w:right w:val="nil"/>
            <w:insideH w:val="nil"/>
          </w:tblBorders>
        </w:tblPrEx>
        <w:tc>
          <w:tcPr>
            <w:gridSpan w:val="15"/>
            <w:tcW w:w="9308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gridSpan w:val="6"/>
            <w:tcW w:w="36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характеристики</w:t>
            </w:r>
          </w:p>
        </w:tc>
        <w:tc>
          <w:tcPr>
            <w:gridSpan w:val="2"/>
            <w:tcW w:w="20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Значение (описание) характеристики (если значение (описание) не заявляется, соответствующие ему пункты не заполняются)</w:t>
            </w:r>
          </w:p>
        </w:tc>
        <w:tc>
          <w:tcPr>
            <w:gridSpan w:val="6"/>
            <w:tcW w:w="273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Порядковый номер документа (копии документа)/материала, подтверждающего значение (описание) характеристики, содержащейся в декларации, в соответствии с </w:t>
            </w:r>
            <w:hyperlink w:history="0" w:anchor="P664" w:tooltip="Раздел 4">
              <w:r>
                <w:rPr>
                  <w:sz w:val="20"/>
                  <w:color w:val="0000ff"/>
                </w:rPr>
                <w:t xml:space="preserve">разделом 4</w:t>
              </w:r>
            </w:hyperlink>
            <w:r>
              <w:rPr>
                <w:sz w:val="20"/>
              </w:rPr>
              <w:t xml:space="preserve"> декларации</w:t>
            </w:r>
          </w:p>
        </w:tc>
      </w:tr>
      <w:tr>
        <w:tc>
          <w:tcPr>
            <w:tcW w:w="870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Вид объекта недвижимости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Адрес или описание местоположения (при отсутствии присвоенного адреса) объекта недвижимости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Площадь, кв. м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Тип и значение основной характеристики сооружения (протяженность, глубина, глубина залегания, площадь, объем, высота, площадь застройки объекта недвижимости)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gridSpan w:val="6"/>
            <w:tcW w:w="3662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Степень готовности объекта незавершенного строительства (в процентах)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Тип и проектируемое значение основной характеристики объекта незавершенного строительства (протяженность, глубина, глубина залегания, площадь, площадь застройки, объем, высота)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gridSpan w:val="6"/>
            <w:tcW w:w="3662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Проектируемое назначение здания, сооружения, строительство которых не завершено, для объектов незавершенного строительства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этажей для здания, сооружения (при наличии этажности), в том числе: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8.1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подземный этаж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V w:val="nil"/>
          </w:tblBorders>
        </w:tblPrEx>
        <w:tc>
          <w:tcPr>
            <w:tcW w:w="87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1"/>
            <w:tcW w:w="6906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V w:val="nil"/>
            <w:insideH w:val="nil"/>
          </w:tblBorders>
        </w:tblPrEx>
        <w:tc>
          <w:tcPr>
            <w:tcW w:w="87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1"/>
            <w:tcW w:w="690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</w:tr>
      <w:tr>
        <w:tblPrEx>
          <w:tblBorders>
            <w:left w:val="nil"/>
            <w:right w:val="nil"/>
            <w:insideV w:val="nil"/>
            <w:insideH w:val="nil"/>
          </w:tblBorders>
        </w:tblPrEx>
        <w:tc>
          <w:tcPr>
            <w:tcW w:w="87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1"/>
            <w:tcW w:w="6906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8.2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технический этаж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8.3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мансардный этаж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8.4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иные типы этажей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Номер этажа здания или сооружения, на котором расположено помещение или машино-место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Серия многоквартирного дома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Материал наружных стен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Материал основных несущих конструкций, перекрытий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Материал кровли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gridSpan w:val="6"/>
            <w:tcW w:w="3662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Год ввода в эксплуатацию объекта недвижимости после завершения строительства либо год завершения строительства, если в соответствии с федеральным законом выдача разрешения на ввод объекта в эксплуатацию не предусматривается (для здания и сооружения)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Дата окончания проведения капитального ремонта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Дата окончания проведения реконструкции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Вид жилого помещения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Вид или виды разрешенного использования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Наименование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Сведения о включении объекта недвижимости в единый государственный реестр объектов культурного наследия (памятников истории и культуры) народов Российской Федерации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Процент физического износа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Сведения о признании объекта недвижимости ветхим или аварийным, наличие признаков аварийности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V w:val="nil"/>
          </w:tblBorders>
        </w:tblPrEx>
        <w:tc>
          <w:tcPr>
            <w:tcW w:w="87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1"/>
            <w:tcW w:w="6906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V w:val="nil"/>
            <w:insideH w:val="nil"/>
          </w:tblBorders>
        </w:tblPrEx>
        <w:tc>
          <w:tcPr>
            <w:tcW w:w="87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1"/>
            <w:tcW w:w="690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</w:tr>
      <w:tr>
        <w:tblPrEx>
          <w:tblBorders>
            <w:left w:val="nil"/>
            <w:right w:val="nil"/>
            <w:insideV w:val="nil"/>
            <w:insideH w:val="nil"/>
          </w:tblBorders>
        </w:tblPrEx>
        <w:tc>
          <w:tcPr>
            <w:tcW w:w="87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1"/>
            <w:tcW w:w="6906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Описание инженерных коммуникаций, в том числе их удаленность (в метрах) от объекта недвижимости. Если инженерные коммуникации отсутствуют, указывается расстояние объекта недвижимости до магистральных инженерных коммуникаций (в метрах), а также возможность или невозможность подключения к ним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23.1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Электроснабжение: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23.1.1</w:t>
            </w:r>
          </w:p>
        </w:tc>
        <w:tc>
          <w:tcPr>
            <w:gridSpan w:val="6"/>
            <w:tcW w:w="3662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Наличие/отсутствие подключения к электрическим сетям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23.1.2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Возможность/отсутствие возможности подключения к сетям инженерно-технического обеспечения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23.1.3</w:t>
            </w:r>
          </w:p>
        </w:tc>
        <w:tc>
          <w:tcPr>
            <w:gridSpan w:val="6"/>
            <w:tcW w:w="3662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Мощность электрической сети, к которой подключен объект недвижимости, либо мощность сети, к которой возможно подключение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23.2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Газоснабжение: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23.2.1</w:t>
            </w:r>
          </w:p>
        </w:tc>
        <w:tc>
          <w:tcPr>
            <w:gridSpan w:val="6"/>
            <w:tcW w:w="3662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Наличие/отсутствие подключения к сетям газораспределения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23.2.2</w:t>
            </w:r>
          </w:p>
        </w:tc>
        <w:tc>
          <w:tcPr>
            <w:gridSpan w:val="6"/>
            <w:tcW w:w="3662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Возможность/отсутствие возможности подключения к сетям газораспределения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23.2.3</w:t>
            </w:r>
          </w:p>
        </w:tc>
        <w:tc>
          <w:tcPr>
            <w:gridSpan w:val="6"/>
            <w:tcW w:w="3662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Мощность сетей газораспределения, к которым подключен объект недвижимости, либо мощность сети, к которой возможно подключение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23.3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Водоснабжение: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23.3.1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Наличие/отсутствие централизованного подключения к системе водоснабжения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23.3.2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Возможность/отсутствие возможности подключения к системе водоснабжения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23.4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Теплоснабжение: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23.4.1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Наличие/отсутствие централизованного подключения к системе теплоснабжения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V w:val="nil"/>
          </w:tblBorders>
        </w:tblPrEx>
        <w:tc>
          <w:tcPr>
            <w:tcW w:w="87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1"/>
            <w:tcW w:w="6906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V w:val="nil"/>
            <w:insideH w:val="nil"/>
          </w:tblBorders>
        </w:tblPrEx>
        <w:tc>
          <w:tcPr>
            <w:tcW w:w="87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1"/>
            <w:tcW w:w="690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</w:tr>
      <w:tr>
        <w:tblPrEx>
          <w:tblBorders>
            <w:left w:val="nil"/>
            <w:right w:val="nil"/>
            <w:insideV w:val="nil"/>
            <w:insideH w:val="nil"/>
          </w:tblBorders>
        </w:tblPrEx>
        <w:tc>
          <w:tcPr>
            <w:tcW w:w="87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1"/>
            <w:tcW w:w="6906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23.4.2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Возможность/отсутствие возможности подключения к системе теплоснабжения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23.5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Водоотведение: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23.5.1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Наличие/отсутствие централизованного подключения к системе водоотведения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23.5.2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Возможность/отсутствие возможности подключения к системе водоотведения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Иные характеристики объекта недвижимости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87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</w:t>
            </w:r>
          </w:p>
        </w:tc>
        <w:tc>
          <w:tcPr>
            <w:gridSpan w:val="14"/>
            <w:tcW w:w="8438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Достоверность и полноту сведений, указанных в настоящей декларации, подтверждаю</w:t>
            </w:r>
          </w:p>
        </w:tc>
      </w:tr>
      <w:tr>
        <w:tblPrEx>
          <w:tblBorders>
            <w:insideV w:val="nil"/>
            <w:insideH w:val="nil"/>
          </w:tblBorders>
        </w:tblPrEx>
        <w:tc>
          <w:tcPr>
            <w:tcW w:w="870" w:type="dxa"/>
            <w:tcBorders>
              <w:top w:val="nil"/>
              <w:left w:val="single" w:sz="4"/>
              <w:right w:val="single" w:sz="4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52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349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2058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V w:val="nil"/>
          </w:tblBorders>
        </w:tblPrEx>
        <w:tc>
          <w:tcPr>
            <w:tcBorders>
              <w:top w:val="nil"/>
              <w:left w:val="single" w:sz="4"/>
              <w:right w:val="single" w:sz="4"/>
            </w:tcBorders>
            <w:vMerge w:val="continue"/>
          </w:tcPr>
          <w:p/>
        </w:tc>
        <w:tc>
          <w:tcPr>
            <w:tcW w:w="340" w:type="dxa"/>
            <w:tcBorders>
              <w:top w:val="nil"/>
              <w:lef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52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349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(фамилия имя отчество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(последнее - при наличии)</w:t>
            </w:r>
          </w:p>
        </w:tc>
        <w:tc>
          <w:tcPr>
            <w:tcW w:w="34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205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(дата)</w:t>
            </w:r>
          </w:p>
        </w:tc>
        <w:tc>
          <w:tcPr>
            <w:tcW w:w="340" w:type="dxa"/>
            <w:tcBorders>
              <w:top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H w:val="nil"/>
          </w:tblBorders>
        </w:tblPrEx>
        <w:tc>
          <w:tcPr>
            <w:gridSpan w:val="15"/>
            <w:tcW w:w="9308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H w:val="nil"/>
          </w:tblBorders>
        </w:tblPrEx>
        <w:tc>
          <w:tcPr>
            <w:gridSpan w:val="15"/>
            <w:tcW w:w="9308" w:type="dxa"/>
            <w:tcBorders>
              <w:top w:val="nil"/>
              <w:left w:val="nil"/>
              <w:bottom w:val="nil"/>
              <w:right w:val="nil"/>
            </w:tcBorders>
          </w:tcPr>
          <w:bookmarkStart w:id="664" w:name="P664"/>
          <w:bookmarkEnd w:id="664"/>
          <w:p>
            <w:pPr>
              <w:pStyle w:val="0"/>
              <w:outlineLvl w:val="1"/>
              <w:jc w:val="right"/>
            </w:pPr>
            <w:r>
              <w:rPr>
                <w:sz w:val="20"/>
              </w:rPr>
              <w:t xml:space="preserve">Раздел 4</w:t>
            </w:r>
          </w:p>
        </w:tc>
      </w:tr>
      <w:tr>
        <w:tblPrEx>
          <w:tblBorders>
            <w:left w:val="nil"/>
            <w:right w:val="nil"/>
            <w:insideH w:val="nil"/>
          </w:tblBorders>
        </w:tblPrEx>
        <w:tc>
          <w:tcPr>
            <w:gridSpan w:val="15"/>
            <w:tcW w:w="9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Реестр документов (копий документов) и материалов, прилагаемых к декларации</w:t>
            </w:r>
          </w:p>
        </w:tc>
      </w:tr>
      <w:tr>
        <w:tblPrEx>
          <w:tblBorders>
            <w:left w:val="nil"/>
            <w:right w:val="nil"/>
            <w:insideH w:val="nil"/>
          </w:tblBorders>
        </w:tblPrEx>
        <w:tc>
          <w:tcPr>
            <w:gridSpan w:val="15"/>
            <w:tcW w:w="9308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gridSpan w:val="14"/>
            <w:tcW w:w="8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и реквизиты (при наличии) документов (копий документов) и материалов, прилагаемых к декларации</w:t>
            </w:r>
          </w:p>
        </w:tc>
      </w:tr>
      <w:tr>
        <w:tc>
          <w:tcPr>
            <w:tcW w:w="87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4"/>
            <w:tcW w:w="84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4"/>
            <w:tcW w:w="84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4"/>
            <w:tcW w:w="84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870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4"/>
            <w:tcW w:w="8438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Достоверность и полноту сведений, указанных в настоящей декларации, подтверждаю</w:t>
            </w:r>
          </w:p>
        </w:tc>
      </w:tr>
      <w:tr>
        <w:tblPrEx>
          <w:tblBorders>
            <w:insideV w:val="nil"/>
            <w:insideH w:val="nil"/>
          </w:tblBorders>
        </w:tblPrEx>
        <w:tc>
          <w:tcPr>
            <w:tcW w:w="870" w:type="dxa"/>
            <w:tcBorders>
              <w:top w:val="nil"/>
              <w:left w:val="single" w:sz="4"/>
              <w:right w:val="single" w:sz="4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52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349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2058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V w:val="nil"/>
          </w:tblBorders>
        </w:tblPrEx>
        <w:tc>
          <w:tcPr>
            <w:tcBorders>
              <w:top w:val="nil"/>
              <w:left w:val="single" w:sz="4"/>
              <w:right w:val="single" w:sz="4"/>
            </w:tcBorders>
            <w:vMerge w:val="continue"/>
          </w:tcPr>
          <w:p/>
        </w:tc>
        <w:tc>
          <w:tcPr>
            <w:tcW w:w="340" w:type="dxa"/>
            <w:tcBorders>
              <w:top w:val="nil"/>
              <w:lef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52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349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(фамилия имя отчество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(последнее - при наличии)</w:t>
            </w:r>
          </w:p>
        </w:tc>
        <w:tc>
          <w:tcPr>
            <w:tcW w:w="34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205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(дата)</w:t>
            </w:r>
          </w:p>
        </w:tc>
        <w:tc>
          <w:tcPr>
            <w:tcW w:w="340" w:type="dxa"/>
            <w:tcBorders>
              <w:top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V w:val="nil"/>
          </w:tblBorders>
        </w:tblPrEx>
        <w:tc>
          <w:tcPr>
            <w:tcW w:w="87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1"/>
            <w:tcW w:w="6906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V w:val="nil"/>
            <w:insideH w:val="nil"/>
          </w:tblBorders>
        </w:tblPrEx>
        <w:tc>
          <w:tcPr>
            <w:tcW w:w="87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1"/>
            <w:tcW w:w="690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Росреестра от 24.05.2021 N П/0216</w:t>
            <w:br/>
            <w:t>"Об утверждении Порядка рассмотрения декларации о характеристиках объекта недви...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12.02.2025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91410&amp;dst=100094" TargetMode = "External"/>
	<Relationship Id="rId8" Type="http://schemas.openxmlformats.org/officeDocument/2006/relationships/hyperlink" Target="https://login.consultant.ru/link/?req=doc&amp;base=LAW&amp;n=493331&amp;dst=66" TargetMode = "External"/>
	<Relationship Id="rId9" Type="http://schemas.openxmlformats.org/officeDocument/2006/relationships/hyperlink" Target="https://login.consultant.ru/link/?req=doc&amp;base=LAW&amp;n=333974" TargetMode = "External"/>
	<Relationship Id="rId10" Type="http://schemas.openxmlformats.org/officeDocument/2006/relationships/hyperlink" Target="https://login.consultant.ru/link/?req=doc&amp;base=LAW&amp;n=483234&amp;dst=100193" TargetMode = "External"/>
	<Relationship Id="rId11" Type="http://schemas.openxmlformats.org/officeDocument/2006/relationships/hyperlink" Target="https://login.consultant.ru/link/?req=doc&amp;base=LAW&amp;n=494996&amp;dst=100064" TargetMode = "External"/>
	<Relationship Id="rId12" Type="http://schemas.openxmlformats.org/officeDocument/2006/relationships/hyperlink" Target="https://login.consultant.ru/link/?req=doc&amp;base=LAW&amp;n=491410&amp;dst=44" TargetMode = "External"/>
	<Relationship Id="rId13" Type="http://schemas.openxmlformats.org/officeDocument/2006/relationships/hyperlink" Target="https://login.consultant.ru/link/?req=doc&amp;base=LAW&amp;n=491410&amp;dst=137" TargetMode = "External"/>
	<Relationship Id="rId14" Type="http://schemas.openxmlformats.org/officeDocument/2006/relationships/hyperlink" Target="https://login.consultant.ru/link/?req=doc&amp;base=LAW&amp;n=491410&amp;dst=159" TargetMode = "External"/>
	<Relationship Id="rId15" Type="http://schemas.openxmlformats.org/officeDocument/2006/relationships/hyperlink" Target="https://login.consultant.ru/link/?req=doc&amp;base=LAW&amp;n=491410&amp;dst=45" TargetMode = "External"/>
	<Relationship Id="rId16" Type="http://schemas.openxmlformats.org/officeDocument/2006/relationships/hyperlink" Target="https://login.consultant.ru/link/?req=doc&amp;base=LAW&amp;n=491410&amp;dst=138" TargetMode = "External"/>
	<Relationship Id="rId17" Type="http://schemas.openxmlformats.org/officeDocument/2006/relationships/hyperlink" Target="https://login.consultant.ru/link/?req=doc&amp;base=LAW&amp;n=491410&amp;dst=159" TargetMode = "External"/>
	<Relationship Id="rId18" Type="http://schemas.openxmlformats.org/officeDocument/2006/relationships/hyperlink" Target="https://login.consultant.ru/link/?req=doc&amp;base=LAW&amp;n=482686&amp;dst=100239" TargetMode = "External"/>
	<Relationship Id="rId19" Type="http://schemas.openxmlformats.org/officeDocument/2006/relationships/hyperlink" Target="https://login.consultant.ru/link/?req=doc&amp;base=LAW&amp;n=491410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Росреестра от 24.05.2021 N П/0216
"Об утверждении Порядка рассмотрения декларации о характеристиках объекта недвижимости, в том числе ее формы"
(Зарегистрировано в Минюсте России 17.09.2021 N 65037)</dc:title>
  <dcterms:created xsi:type="dcterms:W3CDTF">2025-02-12T09:29:42Z</dcterms:created>
</cp:coreProperties>
</file>